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99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2130"/>
        <w:gridCol w:w="1860"/>
        <w:gridCol w:w="4332"/>
        <w:tblGridChange w:id="0">
          <w:tblGrid>
            <w:gridCol w:w="1590"/>
            <w:gridCol w:w="2130"/>
            <w:gridCol w:w="1860"/>
            <w:gridCol w:w="4332"/>
          </w:tblGrid>
        </w:tblGridChange>
      </w:tblGrid>
      <w:tr>
        <w:tc>
          <w:tcPr>
            <w:shd w:fill="d9d9d9"/>
          </w:tcPr>
          <w:p w:rsidR="00000000" w:rsidDel="00000000" w:rsidP="00000000" w:rsidRDefault="00000000" w:rsidRPr="00000000">
            <w:pPr>
              <w:contextualSpacing w:val="0"/>
            </w:pPr>
            <w:r w:rsidDel="00000000" w:rsidR="00000000" w:rsidRPr="00000000">
              <w:rPr>
                <w:b w:val="1"/>
                <w:rtl w:val="0"/>
              </w:rPr>
              <w:t xml:space="preserve">School Year</w:t>
            </w:r>
          </w:p>
        </w:tc>
        <w:tc>
          <w:tcPr/>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2016-2017</w:t>
            </w:r>
          </w:p>
        </w:tc>
        <w:tc>
          <w:tcPr>
            <w:shd w:fill="d9d9d9"/>
          </w:tcPr>
          <w:p w:rsidR="00000000" w:rsidDel="00000000" w:rsidP="00000000" w:rsidRDefault="00000000" w:rsidRPr="00000000">
            <w:pPr>
              <w:contextualSpacing w:val="0"/>
            </w:pPr>
            <w:r w:rsidDel="00000000" w:rsidR="00000000" w:rsidRPr="00000000">
              <w:rPr>
                <w:b w:val="1"/>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Mary Lopo</w:t>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Office</w:t>
            </w:r>
          </w:p>
        </w:tc>
        <w:tc>
          <w:tcPr/>
          <w:p w:rsidR="00000000" w:rsidDel="00000000" w:rsidP="00000000" w:rsidRDefault="00000000" w:rsidRPr="00000000">
            <w:pPr>
              <w:contextualSpacing w:val="0"/>
            </w:pPr>
            <w:r w:rsidDel="00000000" w:rsidR="00000000" w:rsidRPr="00000000">
              <w:rPr>
                <w:rtl w:val="0"/>
              </w:rPr>
              <w:t xml:space="preserve">Room 324</w:t>
            </w:r>
          </w:p>
        </w:tc>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Website</w:t>
            </w:r>
          </w:p>
        </w:tc>
        <w:tc>
          <w:tcPr/>
          <w:p w:rsidR="00000000" w:rsidDel="00000000" w:rsidP="00000000" w:rsidRDefault="00000000" w:rsidRPr="00000000">
            <w:pPr>
              <w:contextualSpacing w:val="0"/>
            </w:pPr>
            <w:r w:rsidDel="00000000" w:rsidR="00000000" w:rsidRPr="00000000">
              <w:rPr>
                <w:rtl w:val="0"/>
              </w:rPr>
              <w:t xml:space="preserve">MsLopo@weebly.com</w:t>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Phone</w:t>
            </w:r>
          </w:p>
        </w:tc>
        <w:tc>
          <w:tcPr/>
          <w:p w:rsidR="00000000" w:rsidDel="00000000" w:rsidP="00000000" w:rsidRDefault="00000000" w:rsidRPr="00000000">
            <w:pPr>
              <w:contextualSpacing w:val="0"/>
            </w:pPr>
            <w:r w:rsidDel="00000000" w:rsidR="00000000" w:rsidRPr="00000000">
              <w:rPr>
                <w:rtl w:val="0"/>
              </w:rPr>
              <w:t xml:space="preserve">720 972-2684</w:t>
            </w:r>
          </w:p>
        </w:tc>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Email</w:t>
            </w:r>
          </w:p>
        </w:tc>
        <w:tc>
          <w:tcPr/>
          <w:p w:rsidR="00000000" w:rsidDel="00000000" w:rsidP="00000000" w:rsidRDefault="00000000" w:rsidRPr="00000000">
            <w:pPr>
              <w:contextualSpacing w:val="0"/>
            </w:pPr>
            <w:r w:rsidDel="00000000" w:rsidR="00000000" w:rsidRPr="00000000">
              <w:rPr>
                <w:rtl w:val="0"/>
              </w:rPr>
              <w:t xml:space="preserve">Mary.lopo@adams12.org</w:t>
            </w:r>
          </w:p>
        </w:tc>
      </w:tr>
    </w:tbl>
    <w:p w:rsidR="00000000" w:rsidDel="00000000" w:rsidP="00000000" w:rsidRDefault="00000000" w:rsidRPr="00000000">
      <w:pPr>
        <w:contextualSpacing w:val="0"/>
      </w:pPr>
      <w:r w:rsidDel="00000000" w:rsidR="00000000" w:rsidRPr="00000000">
        <w:rPr>
          <w:rtl w:val="0"/>
        </w:rPr>
      </w:r>
    </w:p>
    <w:tbl>
      <w:tblPr>
        <w:tblStyle w:val="Table2"/>
        <w:bidi w:val="0"/>
        <w:tblW w:w="9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905"/>
        <w:gridCol w:w="2940"/>
        <w:gridCol w:w="1560"/>
        <w:gridCol w:w="1770"/>
        <w:tblGridChange w:id="0">
          <w:tblGrid>
            <w:gridCol w:w="1755"/>
            <w:gridCol w:w="1905"/>
            <w:gridCol w:w="2940"/>
            <w:gridCol w:w="1560"/>
            <w:gridCol w:w="1770"/>
          </w:tblGrid>
        </w:tblGridChange>
      </w:tblGrid>
      <w:tr>
        <w:trPr>
          <w:trHeight w:val="200" w:hRule="atLeast"/>
        </w:trPr>
        <w:tc>
          <w:tcPr>
            <w:gridSpan w:val="2"/>
            <w:shd w:fill="d9d9d9"/>
          </w:tcPr>
          <w:p w:rsidR="00000000" w:rsidDel="00000000" w:rsidP="00000000" w:rsidRDefault="00000000" w:rsidRPr="00000000">
            <w:pPr>
              <w:contextualSpacing w:val="0"/>
            </w:pPr>
            <w:r w:rsidDel="00000000" w:rsidR="00000000" w:rsidRPr="00000000">
              <w:rPr>
                <w:b w:val="1"/>
                <w:sz w:val="20"/>
                <w:szCs w:val="20"/>
                <w:rtl w:val="0"/>
              </w:rPr>
              <w:t xml:space="preserve">Course Name</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sz w:val="20"/>
                <w:szCs w:val="20"/>
                <w:rtl w:val="0"/>
              </w:rPr>
              <w:t xml:space="preserve">Voyager English III</w:t>
            </w:r>
          </w:p>
        </w:tc>
      </w:tr>
      <w:tr>
        <w:trPr>
          <w:trHeight w:val="220" w:hRule="atLeast"/>
        </w:trPr>
        <w:tc>
          <w:tcPr>
            <w:gridSpan w:val="2"/>
            <w:shd w:fill="d9d9d9"/>
            <w:vAlign w:val="center"/>
          </w:tcPr>
          <w:p w:rsidR="00000000" w:rsidDel="00000000" w:rsidP="00000000" w:rsidRDefault="00000000" w:rsidRPr="00000000">
            <w:pPr>
              <w:contextualSpacing w:val="0"/>
            </w:pPr>
            <w:r w:rsidDel="00000000" w:rsidR="00000000" w:rsidRPr="00000000">
              <w:rPr>
                <w:b w:val="1"/>
                <w:sz w:val="20"/>
                <w:szCs w:val="20"/>
                <w:rtl w:val="0"/>
              </w:rPr>
              <w:t xml:space="preserve">Course Description</w:t>
            </w:r>
            <w:r w:rsidDel="00000000" w:rsidR="00000000" w:rsidRPr="00000000">
              <w:rPr>
                <w:rtl w:val="0"/>
              </w:rPr>
            </w:r>
          </w:p>
        </w:tc>
        <w:tc>
          <w:tcPr>
            <w:gridSpan w:val="3"/>
          </w:tcPr>
          <w:p w:rsidR="00000000" w:rsidDel="00000000" w:rsidP="00000000" w:rsidRDefault="00000000" w:rsidRPr="00000000">
            <w:pPr>
              <w:widowControl w:val="0"/>
              <w:ind w:left="100" w:firstLine="0"/>
              <w:contextualSpacing w:val="0"/>
              <w:jc w:val="both"/>
            </w:pPr>
            <w:r w:rsidDel="00000000" w:rsidR="00000000" w:rsidRPr="00000000">
              <w:rPr>
                <w:rFonts w:ascii="Arial" w:cs="Arial" w:eastAsia="Arial" w:hAnsi="Arial"/>
                <w:color w:val="434343"/>
                <w:sz w:val="20"/>
                <w:szCs w:val="20"/>
                <w:rtl w:val="0"/>
              </w:rPr>
              <w:t xml:space="preserve">Voyager English is designed for students to improve their decoding skills, comprehension skills, reading fluency, written expression, and basic writing skills. Voyager English III and IV will focus on reading comprehension strategies and writing skills.  The unit descriptions listed are a guide.  Student need will determine the length of time spent on each unit and to what degree each element will be explored.   </w:t>
            </w:r>
          </w:p>
          <w:p w:rsidR="00000000" w:rsidDel="00000000" w:rsidP="00000000" w:rsidRDefault="00000000" w:rsidRPr="00000000">
            <w:pPr>
              <w:widowControl w:val="0"/>
              <w:contextualSpacing w:val="0"/>
            </w:pPr>
            <w:r w:rsidDel="00000000" w:rsidR="00000000" w:rsidRPr="00000000">
              <w:rPr>
                <w:rtl w:val="0"/>
              </w:rPr>
            </w:r>
          </w:p>
        </w:tc>
      </w:tr>
      <w:tr>
        <w:trPr>
          <w:trHeight w:val="560" w:hRule="atLeast"/>
        </w:trPr>
        <w:tc>
          <w:tcPr>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Unit of Study</w:t>
            </w:r>
          </w:p>
        </w:tc>
        <w:tc>
          <w:tcPr>
            <w:gridSpan w:val="2"/>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Grade Level Expectations/Content Standards</w:t>
            </w:r>
            <w:r w:rsidDel="00000000" w:rsidR="00000000" w:rsidRPr="00000000">
              <w:rPr>
                <w:rtl w:val="0"/>
              </w:rPr>
            </w:r>
          </w:p>
        </w:tc>
        <w:tc>
          <w:tcPr>
            <w:shd w:fill="d9d9d9"/>
          </w:tcPr>
          <w:p w:rsidR="00000000" w:rsidDel="00000000" w:rsidP="00000000" w:rsidRDefault="00000000" w:rsidRPr="00000000">
            <w:pPr>
              <w:contextualSpacing w:val="0"/>
              <w:jc w:val="center"/>
            </w:pPr>
            <w:r w:rsidDel="00000000" w:rsidR="00000000" w:rsidRPr="00000000">
              <w:rPr>
                <w:b w:val="1"/>
                <w:sz w:val="18"/>
                <w:szCs w:val="18"/>
                <w:rtl w:val="0"/>
              </w:rPr>
              <w:t xml:space="preserve">Approximate Time Spent or Percent of time Spent</w:t>
            </w:r>
          </w:p>
        </w:tc>
        <w:tc>
          <w:tcPr>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Targeted Date of Assessment</w:t>
            </w:r>
          </w:p>
        </w:tc>
      </w:tr>
      <w:tr>
        <w:trPr>
          <w:trHeight w:val="56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Readers’ Workshop</w:t>
            </w:r>
          </w:p>
        </w:tc>
        <w:tc>
          <w:tcPr>
            <w:gridSpan w:val="2"/>
          </w:tcPr>
          <w:p w:rsidR="00000000" w:rsidDel="00000000" w:rsidP="00000000" w:rsidRDefault="00000000" w:rsidRPr="00000000">
            <w:pPr>
              <w:contextualSpacing w:val="0"/>
            </w:pPr>
            <w:r w:rsidDel="00000000" w:rsidR="00000000" w:rsidRPr="00000000">
              <w:rPr>
                <w:b w:val="1"/>
                <w:sz w:val="20"/>
                <w:szCs w:val="20"/>
                <w:rtl w:val="0"/>
              </w:rPr>
              <w:t xml:space="preserve">Reading for All Purposes: </w:t>
            </w:r>
            <w:r w:rsidDel="00000000" w:rsidR="00000000" w:rsidRPr="00000000">
              <w:rPr>
                <w:sz w:val="20"/>
                <w:szCs w:val="20"/>
                <w:rtl w:val="0"/>
              </w:rPr>
              <w:t xml:space="preserve">Independent reading, reading comprehension strategies, and reading fluency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Year Long</w:t>
            </w:r>
          </w:p>
        </w:tc>
        <w:tc>
          <w:tcPr/>
          <w:p w:rsidR="00000000" w:rsidDel="00000000" w:rsidP="00000000" w:rsidRDefault="00000000" w:rsidRPr="00000000">
            <w:pPr>
              <w:contextualSpacing w:val="0"/>
            </w:pPr>
            <w:r w:rsidDel="00000000" w:rsidR="00000000" w:rsidRPr="00000000">
              <w:rPr>
                <w:sz w:val="20"/>
                <w:szCs w:val="20"/>
                <w:rtl w:val="0"/>
              </w:rPr>
              <w:t xml:space="preserve">Every three to four weeks</w:t>
            </w:r>
          </w:p>
        </w:tc>
      </w:tr>
      <w:tr>
        <w:trPr>
          <w:trHeight w:val="80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Writers’ Workshop</w:t>
            </w:r>
          </w:p>
        </w:tc>
        <w:tc>
          <w:tcPr>
            <w:gridSpan w:val="2"/>
          </w:tcPr>
          <w:p w:rsidR="00000000" w:rsidDel="00000000" w:rsidP="00000000" w:rsidRDefault="00000000" w:rsidRPr="00000000">
            <w:pPr>
              <w:contextualSpacing w:val="0"/>
            </w:pPr>
            <w:r w:rsidDel="00000000" w:rsidR="00000000" w:rsidRPr="00000000">
              <w:rPr>
                <w:b w:val="1"/>
                <w:sz w:val="20"/>
                <w:szCs w:val="20"/>
                <w:rtl w:val="0"/>
              </w:rPr>
              <w:t xml:space="preserve">Writing and Composition: </w:t>
            </w:r>
            <w:r w:rsidDel="00000000" w:rsidR="00000000" w:rsidRPr="00000000">
              <w:rPr>
                <w:sz w:val="20"/>
                <w:szCs w:val="20"/>
                <w:rtl w:val="0"/>
              </w:rPr>
              <w:t xml:space="preserve">Writing logs and Journaling including reflections on reading, narratives, creative writing, and Essays.</w:t>
            </w:r>
          </w:p>
        </w:tc>
        <w:tc>
          <w:tcPr/>
          <w:p w:rsidR="00000000" w:rsidDel="00000000" w:rsidP="00000000" w:rsidRDefault="00000000" w:rsidRPr="00000000">
            <w:pPr>
              <w:contextualSpacing w:val="0"/>
            </w:pPr>
            <w:r w:rsidDel="00000000" w:rsidR="00000000" w:rsidRPr="00000000">
              <w:rPr>
                <w:sz w:val="20"/>
                <w:szCs w:val="20"/>
                <w:rtl w:val="0"/>
              </w:rPr>
              <w:t xml:space="preserve">Year Long </w:t>
            </w:r>
          </w:p>
        </w:tc>
        <w:tc>
          <w:tcPr/>
          <w:p w:rsidR="00000000" w:rsidDel="00000000" w:rsidP="00000000" w:rsidRDefault="00000000" w:rsidRPr="00000000">
            <w:pPr>
              <w:contextualSpacing w:val="0"/>
            </w:pPr>
            <w:r w:rsidDel="00000000" w:rsidR="00000000" w:rsidRPr="00000000">
              <w:rPr>
                <w:sz w:val="20"/>
                <w:szCs w:val="20"/>
                <w:rtl w:val="0"/>
              </w:rPr>
              <w:t xml:space="preserve">Every three to four weeks</w:t>
            </w:r>
          </w:p>
        </w:tc>
      </w:tr>
      <w:tr>
        <w:trPr>
          <w:trHeight w:val="84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Unit 1: Argument and Inquiry</w:t>
            </w:r>
          </w:p>
        </w:tc>
        <w:tc>
          <w:tcPr>
            <w:gridSpan w:val="2"/>
          </w:tcPr>
          <w:p w:rsidR="00000000" w:rsidDel="00000000" w:rsidP="00000000" w:rsidRDefault="00000000" w:rsidRPr="00000000">
            <w:pPr>
              <w:contextualSpacing w:val="0"/>
            </w:pPr>
            <w:r w:rsidDel="00000000" w:rsidR="00000000" w:rsidRPr="00000000">
              <w:rPr>
                <w:b w:val="1"/>
                <w:sz w:val="20"/>
                <w:szCs w:val="20"/>
                <w:rtl w:val="0"/>
              </w:rPr>
              <w:t xml:space="preserve">Oral Expression and Reasoning:</w:t>
            </w:r>
            <w:r w:rsidDel="00000000" w:rsidR="00000000" w:rsidRPr="00000000">
              <w:rPr>
                <w:sz w:val="20"/>
                <w:szCs w:val="20"/>
                <w:rtl w:val="0"/>
              </w:rPr>
              <w:t xml:space="preserve"> Multi-Media Presentation</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Reading for All Purposes</w:t>
            </w:r>
            <w:r w:rsidDel="00000000" w:rsidR="00000000" w:rsidRPr="00000000">
              <w:rPr>
                <w:sz w:val="20"/>
                <w:szCs w:val="20"/>
                <w:rtl w:val="0"/>
              </w:rPr>
              <w:t xml:space="preserve">: Reading essays and nonfiction </w:t>
            </w:r>
            <w:r w:rsidDel="00000000" w:rsidR="00000000" w:rsidRPr="00000000">
              <w:rPr>
                <w:b w:val="1"/>
                <w:sz w:val="20"/>
                <w:szCs w:val="20"/>
                <w:rtl w:val="0"/>
              </w:rPr>
              <w:t xml:space="preserve">Writing and Composition</w:t>
            </w:r>
            <w:r w:rsidDel="00000000" w:rsidR="00000000" w:rsidRPr="00000000">
              <w:rPr>
                <w:sz w:val="20"/>
                <w:szCs w:val="20"/>
                <w:rtl w:val="0"/>
              </w:rPr>
              <w:t xml:space="preserve">: Written reflections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color w:val="666666"/>
                <w:sz w:val="20"/>
                <w:szCs w:val="20"/>
                <w:rtl w:val="0"/>
              </w:rPr>
              <w:t xml:space="preserve">Students will set goals for reading fluency and comprehension</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color w:val="666666"/>
                <w:sz w:val="20"/>
                <w:szCs w:val="20"/>
                <w:rtl w:val="0"/>
              </w:rPr>
              <w:t xml:space="preserve">Students will read and analyze  short stories  from </w:t>
            </w:r>
            <w:r w:rsidDel="00000000" w:rsidR="00000000" w:rsidRPr="00000000">
              <w:rPr>
                <w:i w:val="1"/>
                <w:color w:val="666666"/>
                <w:sz w:val="20"/>
                <w:szCs w:val="20"/>
                <w:rtl w:val="0"/>
              </w:rPr>
              <w:t xml:space="preserve">This I Believe….</w:t>
            </w: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color w:val="666666"/>
                <w:sz w:val="20"/>
                <w:szCs w:val="20"/>
                <w:rtl w:val="0"/>
              </w:rPr>
              <w:t xml:space="preserve">Students will use growth mindset writing prompts to journal</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color w:val="666666"/>
                <w:sz w:val="20"/>
                <w:szCs w:val="20"/>
                <w:rtl w:val="0"/>
              </w:rPr>
              <w:t xml:space="preserve">Student will write a non-traditional narratives to develop experiences and events.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3-6 weeks</w:t>
            </w:r>
          </w:p>
        </w:tc>
        <w:tc>
          <w:tcPr/>
          <w:p w:rsidR="00000000" w:rsidDel="00000000" w:rsidP="00000000" w:rsidRDefault="00000000" w:rsidRPr="00000000">
            <w:pPr>
              <w:contextualSpacing w:val="0"/>
            </w:pPr>
            <w:r w:rsidDel="00000000" w:rsidR="00000000" w:rsidRPr="00000000">
              <w:rPr>
                <w:rtl w:val="0"/>
              </w:rPr>
            </w:r>
          </w:p>
        </w:tc>
      </w:tr>
      <w:tr>
        <w:trPr>
          <w:trHeight w:val="104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Unit 2: </w:t>
            </w:r>
            <w:r w:rsidDel="00000000" w:rsidR="00000000" w:rsidRPr="00000000">
              <w:rPr>
                <w:b w:val="1"/>
                <w:color w:val="434343"/>
                <w:sz w:val="20"/>
                <w:szCs w:val="20"/>
                <w:rtl w:val="0"/>
              </w:rPr>
              <w:t xml:space="preserve">Historical Lens Unit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Oral Expression and Reasoning</w:t>
            </w:r>
            <w:r w:rsidDel="00000000" w:rsidR="00000000" w:rsidRPr="00000000">
              <w:rPr>
                <w:sz w:val="20"/>
                <w:szCs w:val="20"/>
                <w:rtl w:val="0"/>
              </w:rPr>
              <w:t xml:space="preserve">: Discussion of satire and Humor. </w:t>
            </w:r>
          </w:p>
          <w:p w:rsidR="00000000" w:rsidDel="00000000" w:rsidP="00000000" w:rsidRDefault="00000000" w:rsidRPr="00000000">
            <w:pPr>
              <w:contextualSpacing w:val="0"/>
            </w:pPr>
            <w:r w:rsidDel="00000000" w:rsidR="00000000" w:rsidRPr="00000000">
              <w:rPr>
                <w:b w:val="1"/>
                <w:sz w:val="20"/>
                <w:szCs w:val="20"/>
                <w:rtl w:val="0"/>
              </w:rPr>
              <w:t xml:space="preserve">Reading for All Purposes</w:t>
            </w:r>
            <w:r w:rsidDel="00000000" w:rsidR="00000000" w:rsidRPr="00000000">
              <w:rPr>
                <w:sz w:val="20"/>
                <w:szCs w:val="20"/>
                <w:rtl w:val="0"/>
              </w:rPr>
              <w:t xml:space="preserve">: Read texts from American literature.</w:t>
            </w:r>
          </w:p>
          <w:p w:rsidR="00000000" w:rsidDel="00000000" w:rsidP="00000000" w:rsidRDefault="00000000" w:rsidRPr="00000000">
            <w:pPr>
              <w:contextualSpacing w:val="0"/>
            </w:pPr>
            <w:r w:rsidDel="00000000" w:rsidR="00000000" w:rsidRPr="00000000">
              <w:rPr>
                <w:b w:val="1"/>
                <w:sz w:val="20"/>
                <w:szCs w:val="20"/>
                <w:rtl w:val="0"/>
              </w:rPr>
              <w:t xml:space="preserve">Writing and Composition:</w:t>
            </w:r>
            <w:r w:rsidDel="00000000" w:rsidR="00000000" w:rsidRPr="00000000">
              <w:rPr>
                <w:sz w:val="20"/>
                <w:szCs w:val="20"/>
                <w:rtl w:val="0"/>
              </w:rPr>
              <w:t xml:space="preserve"> Written satire in narrative, essay, short story, poem or song.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color w:val="666666"/>
                <w:sz w:val="20"/>
                <w:szCs w:val="20"/>
                <w:rtl w:val="0"/>
              </w:rPr>
              <w:t xml:space="preserve">Students will use close reading skills to analyze the influence of historical context on the form, style and point of view of written work. </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color w:val="666666"/>
                <w:sz w:val="20"/>
                <w:szCs w:val="20"/>
                <w:rtl w:val="0"/>
              </w:rPr>
              <w:t xml:space="preserve">Students will analyze how two texts from a time period treat a similar theme or topic.</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3-6 weeks</w:t>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Unit 3: </w:t>
            </w:r>
            <w:r w:rsidDel="00000000" w:rsidR="00000000" w:rsidRPr="00000000">
              <w:rPr>
                <w:b w:val="1"/>
                <w:color w:val="434343"/>
                <w:sz w:val="20"/>
                <w:szCs w:val="20"/>
                <w:rtl w:val="0"/>
              </w:rPr>
              <w:t xml:space="preserve">Critical Lens Unit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b w:val="1"/>
                <w:sz w:val="20"/>
                <w:szCs w:val="20"/>
                <w:rtl w:val="0"/>
              </w:rPr>
              <w:t xml:space="preserve">Oral Expression and Reasoning</w:t>
            </w:r>
            <w:r w:rsidDel="00000000" w:rsidR="00000000" w:rsidRPr="00000000">
              <w:rPr>
                <w:sz w:val="20"/>
                <w:szCs w:val="20"/>
                <w:rtl w:val="0"/>
              </w:rPr>
              <w:t xml:space="preserve">: Seminar Discussions</w:t>
            </w:r>
          </w:p>
          <w:p w:rsidR="00000000" w:rsidDel="00000000" w:rsidP="00000000" w:rsidRDefault="00000000" w:rsidRPr="00000000">
            <w:pPr>
              <w:contextualSpacing w:val="0"/>
            </w:pPr>
            <w:r w:rsidDel="00000000" w:rsidR="00000000" w:rsidRPr="00000000">
              <w:rPr>
                <w:b w:val="1"/>
                <w:sz w:val="20"/>
                <w:szCs w:val="20"/>
                <w:rtl w:val="0"/>
              </w:rPr>
              <w:t xml:space="preserve">Reading for All Purposes</w:t>
            </w:r>
            <w:r w:rsidDel="00000000" w:rsidR="00000000" w:rsidRPr="00000000">
              <w:rPr>
                <w:sz w:val="20"/>
                <w:szCs w:val="20"/>
                <w:rtl w:val="0"/>
              </w:rPr>
              <w:t xml:space="preserve">: Reader Responses</w:t>
            </w:r>
          </w:p>
          <w:p w:rsidR="00000000" w:rsidDel="00000000" w:rsidP="00000000" w:rsidRDefault="00000000" w:rsidRPr="00000000">
            <w:pPr>
              <w:contextualSpacing w:val="0"/>
            </w:pPr>
            <w:r w:rsidDel="00000000" w:rsidR="00000000" w:rsidRPr="00000000">
              <w:rPr>
                <w:b w:val="1"/>
                <w:sz w:val="20"/>
                <w:szCs w:val="20"/>
                <w:rtl w:val="0"/>
              </w:rPr>
              <w:t xml:space="preserve">Writing and Composition</w:t>
            </w:r>
            <w:r w:rsidDel="00000000" w:rsidR="00000000" w:rsidRPr="00000000">
              <w:rPr>
                <w:sz w:val="20"/>
                <w:szCs w:val="20"/>
                <w:rtl w:val="0"/>
              </w:rPr>
              <w:t xml:space="preserve">: Use technology, to produce, publish and update writing projects. </w:t>
            </w:r>
          </w:p>
          <w:p w:rsidR="00000000" w:rsidDel="00000000" w:rsidP="00000000" w:rsidRDefault="00000000" w:rsidRPr="00000000">
            <w:pPr>
              <w:widowControl w:val="0"/>
              <w:numPr>
                <w:ilvl w:val="0"/>
                <w:numId w:val="2"/>
              </w:numPr>
              <w:ind w:left="720" w:hanging="360"/>
              <w:contextualSpacing w:val="1"/>
              <w:rPr>
                <w:b w:val="0"/>
              </w:rPr>
            </w:pPr>
            <w:r w:rsidDel="00000000" w:rsidR="00000000" w:rsidRPr="00000000">
              <w:rPr>
                <w:color w:val="666666"/>
                <w:sz w:val="20"/>
                <w:szCs w:val="20"/>
                <w:rtl w:val="0"/>
              </w:rPr>
              <w:t xml:space="preserve">Students will write arguments to support claims using valid reasoning and relevant evidence.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color w:val="666666"/>
                <w:sz w:val="20"/>
                <w:szCs w:val="20"/>
                <w:rtl w:val="0"/>
              </w:rPr>
              <w:t xml:space="preserve">Students will use close reading skills to analyze how literary critics form arguments based on textual evidence and inferential readings.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color w:val="666666"/>
                <w:sz w:val="20"/>
                <w:szCs w:val="20"/>
                <w:rtl w:val="0"/>
              </w:rPr>
              <w:t xml:space="preserve">Students will analyze multiple critical interpretations of a story, drama or poem.</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3-6 weeks</w:t>
            </w:r>
          </w:p>
        </w:tc>
        <w:tc>
          <w:tcPr/>
          <w:p w:rsidR="00000000" w:rsidDel="00000000" w:rsidP="00000000" w:rsidRDefault="00000000" w:rsidRPr="00000000">
            <w:pPr>
              <w:contextualSpacing w:val="0"/>
            </w:pPr>
            <w:r w:rsidDel="00000000" w:rsidR="00000000" w:rsidRPr="00000000">
              <w:rPr>
                <w:rtl w:val="0"/>
              </w:rPr>
            </w:r>
          </w:p>
        </w:tc>
      </w:tr>
      <w:tr>
        <w:trPr>
          <w:trHeight w:val="60" w:hRule="atLeast"/>
        </w:trPr>
        <w:tc>
          <w:tcPr>
            <w:shd w:fill="ffffff"/>
          </w:tcPr>
          <w:p w:rsidR="00000000" w:rsidDel="00000000" w:rsidP="00000000" w:rsidRDefault="00000000" w:rsidRPr="00000000">
            <w:pPr>
              <w:contextualSpacing w:val="0"/>
            </w:pPr>
            <w:r w:rsidDel="00000000" w:rsidR="00000000" w:rsidRPr="00000000">
              <w:rPr>
                <w:color w:val="434343"/>
                <w:sz w:val="20"/>
                <w:szCs w:val="20"/>
                <w:rtl w:val="0"/>
              </w:rPr>
              <w:t xml:space="preserve">Unit 4: </w:t>
            </w:r>
            <w:r w:rsidDel="00000000" w:rsidR="00000000" w:rsidRPr="00000000">
              <w:rPr>
                <w:b w:val="1"/>
                <w:color w:val="434343"/>
                <w:sz w:val="20"/>
                <w:szCs w:val="20"/>
                <w:rtl w:val="0"/>
              </w:rPr>
              <w:t xml:space="preserve">Inquiry Unit</w:t>
            </w:r>
          </w:p>
        </w:tc>
        <w:tc>
          <w:tcPr>
            <w:gridSpan w:val="2"/>
          </w:tcPr>
          <w:p w:rsidR="00000000" w:rsidDel="00000000" w:rsidP="00000000" w:rsidRDefault="00000000" w:rsidRPr="00000000">
            <w:pPr>
              <w:contextualSpacing w:val="0"/>
            </w:pPr>
            <w:r w:rsidDel="00000000" w:rsidR="00000000" w:rsidRPr="00000000">
              <w:rPr>
                <w:b w:val="1"/>
                <w:sz w:val="20"/>
                <w:szCs w:val="20"/>
                <w:rtl w:val="0"/>
              </w:rPr>
              <w:t xml:space="preserve">Oral Expression and Reasoning</w:t>
            </w:r>
            <w:r w:rsidDel="00000000" w:rsidR="00000000" w:rsidRPr="00000000">
              <w:rPr>
                <w:sz w:val="20"/>
                <w:szCs w:val="20"/>
                <w:rtl w:val="0"/>
              </w:rPr>
              <w:t xml:space="preserve">: Presentation to authentic audience of community and school members.</w:t>
            </w:r>
          </w:p>
          <w:p w:rsidR="00000000" w:rsidDel="00000000" w:rsidP="00000000" w:rsidRDefault="00000000" w:rsidRPr="00000000">
            <w:pPr>
              <w:contextualSpacing w:val="0"/>
            </w:pPr>
            <w:r w:rsidDel="00000000" w:rsidR="00000000" w:rsidRPr="00000000">
              <w:rPr>
                <w:b w:val="1"/>
                <w:sz w:val="20"/>
                <w:szCs w:val="20"/>
                <w:rtl w:val="0"/>
              </w:rPr>
              <w:t xml:space="preserve">Reading for All Purposes</w:t>
            </w:r>
            <w:r w:rsidDel="00000000" w:rsidR="00000000" w:rsidRPr="00000000">
              <w:rPr>
                <w:sz w:val="20"/>
                <w:szCs w:val="20"/>
                <w:rtl w:val="0"/>
              </w:rPr>
              <w:t xml:space="preserve">: Reading research, reports, and nonfiction.</w:t>
            </w:r>
          </w:p>
          <w:p w:rsidR="00000000" w:rsidDel="00000000" w:rsidP="00000000" w:rsidRDefault="00000000" w:rsidRPr="00000000">
            <w:pPr>
              <w:contextualSpacing w:val="0"/>
            </w:pPr>
            <w:r w:rsidDel="00000000" w:rsidR="00000000" w:rsidRPr="00000000">
              <w:rPr>
                <w:b w:val="1"/>
                <w:sz w:val="20"/>
                <w:szCs w:val="20"/>
                <w:rtl w:val="0"/>
              </w:rPr>
              <w:t xml:space="preserve">Writing and Composition</w:t>
            </w:r>
            <w:r w:rsidDel="00000000" w:rsidR="00000000" w:rsidRPr="00000000">
              <w:rPr>
                <w:sz w:val="20"/>
                <w:szCs w:val="20"/>
                <w:rtl w:val="0"/>
              </w:rPr>
              <w:t xml:space="preserve">: Use technology, including the</w:t>
            </w:r>
          </w:p>
          <w:p w:rsidR="00000000" w:rsidDel="00000000" w:rsidP="00000000" w:rsidRDefault="00000000" w:rsidRPr="00000000">
            <w:pPr>
              <w:contextualSpacing w:val="0"/>
            </w:pPr>
            <w:r w:rsidDel="00000000" w:rsidR="00000000" w:rsidRPr="00000000">
              <w:rPr>
                <w:sz w:val="20"/>
                <w:szCs w:val="20"/>
                <w:rtl w:val="0"/>
              </w:rPr>
              <w:t xml:space="preserve">Internet, to produce, publish, and update shared writing </w:t>
            </w:r>
          </w:p>
          <w:p w:rsidR="00000000" w:rsidDel="00000000" w:rsidP="00000000" w:rsidRDefault="00000000" w:rsidRPr="00000000">
            <w:pPr>
              <w:contextualSpacing w:val="0"/>
            </w:pPr>
            <w:r w:rsidDel="00000000" w:rsidR="00000000" w:rsidRPr="00000000">
              <w:rPr>
                <w:sz w:val="20"/>
                <w:szCs w:val="20"/>
                <w:rtl w:val="0"/>
              </w:rPr>
              <w:t xml:space="preserve">products in response to ongoing feedback, including new information.</w:t>
            </w:r>
          </w:p>
          <w:p w:rsidR="00000000" w:rsidDel="00000000" w:rsidP="00000000" w:rsidRDefault="00000000" w:rsidRPr="00000000">
            <w:pPr>
              <w:contextualSpacing w:val="0"/>
            </w:pPr>
            <w:r w:rsidDel="00000000" w:rsidR="00000000" w:rsidRPr="00000000">
              <w:rPr>
                <w:b w:val="1"/>
                <w:sz w:val="20"/>
                <w:szCs w:val="20"/>
                <w:rtl w:val="0"/>
              </w:rPr>
              <w:t xml:space="preserve">Research and Reasoning</w:t>
            </w:r>
            <w:r w:rsidDel="00000000" w:rsidR="00000000" w:rsidRPr="00000000">
              <w:rPr>
                <w:sz w:val="20"/>
                <w:szCs w:val="20"/>
                <w:rtl w:val="0"/>
              </w:rPr>
              <w:t xml:space="preserve">: Extended research for multi-</w:t>
            </w:r>
          </w:p>
          <w:p w:rsidR="00000000" w:rsidDel="00000000" w:rsidP="00000000" w:rsidRDefault="00000000" w:rsidRPr="00000000">
            <w:pPr>
              <w:contextualSpacing w:val="0"/>
            </w:pPr>
            <w:r w:rsidDel="00000000" w:rsidR="00000000" w:rsidRPr="00000000">
              <w:rPr>
                <w:sz w:val="20"/>
                <w:szCs w:val="20"/>
                <w:rtl w:val="0"/>
              </w:rPr>
              <w:t xml:space="preserve">media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b w:val="0"/>
              </w:rPr>
            </w:pPr>
            <w:r w:rsidDel="00000000" w:rsidR="00000000" w:rsidRPr="00000000">
              <w:rPr>
                <w:color w:val="666666"/>
                <w:sz w:val="20"/>
                <w:szCs w:val="20"/>
                <w:rtl w:val="0"/>
              </w:rPr>
              <w:t xml:space="preserve">Students will write arguments to support claims using valid reasoning and relevant evidence.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3-6 weeks</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68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1437"/>
        <w:gridCol w:w="3513"/>
        <w:gridCol w:w="1530"/>
        <w:tblGridChange w:id="0">
          <w:tblGrid>
            <w:gridCol w:w="378"/>
            <w:gridCol w:w="1437"/>
            <w:gridCol w:w="3513"/>
            <w:gridCol w:w="1530"/>
          </w:tblGrid>
        </w:tblGridChange>
      </w:tblGrid>
      <w:tr>
        <w:tc>
          <w:tcPr>
            <w:gridSpan w:val="2"/>
            <w:shd w:fill="d9d9d9"/>
          </w:tcPr>
          <w:p w:rsidR="00000000" w:rsidDel="00000000" w:rsidP="00000000" w:rsidRDefault="00000000" w:rsidRPr="00000000">
            <w:pPr>
              <w:contextualSpacing w:val="0"/>
            </w:pPr>
            <w:r w:rsidDel="00000000" w:rsidR="00000000" w:rsidRPr="00000000">
              <w:rPr>
                <w:b w:val="1"/>
                <w:sz w:val="20"/>
                <w:szCs w:val="20"/>
                <w:rtl w:val="0"/>
              </w:rPr>
              <w:t xml:space="preserve">Grading Scale</w:t>
            </w:r>
          </w:p>
        </w:tc>
        <w:tc>
          <w:tcPr>
            <w:gridSpan w:val="2"/>
            <w:shd w:fill="d9d9d9"/>
          </w:tcPr>
          <w:p w:rsidR="00000000" w:rsidDel="00000000" w:rsidP="00000000" w:rsidRDefault="00000000" w:rsidRPr="00000000">
            <w:pPr>
              <w:contextualSpacing w:val="0"/>
            </w:pPr>
            <w:r w:rsidDel="00000000" w:rsidR="00000000" w:rsidRPr="00000000">
              <w:rPr>
                <w:b w:val="1"/>
                <w:sz w:val="20"/>
                <w:szCs w:val="20"/>
                <w:rtl w:val="0"/>
              </w:rPr>
              <w:t xml:space="preserve">Grade Percentages/Weights</w:t>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A</w:t>
            </w:r>
          </w:p>
        </w:tc>
        <w:tc>
          <w:tcPr/>
          <w:p w:rsidR="00000000" w:rsidDel="00000000" w:rsidP="00000000" w:rsidRDefault="00000000" w:rsidRPr="00000000">
            <w:pPr>
              <w:contextualSpacing w:val="0"/>
              <w:jc w:val="center"/>
            </w:pPr>
            <w:r w:rsidDel="00000000" w:rsidR="00000000" w:rsidRPr="00000000">
              <w:rPr>
                <w:sz w:val="20"/>
                <w:szCs w:val="20"/>
                <w:rtl w:val="0"/>
              </w:rPr>
              <w:t xml:space="preserve">90-100</w:t>
            </w:r>
          </w:p>
        </w:tc>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Summative Assessments &amp; Projects</w:t>
            </w:r>
          </w:p>
        </w:tc>
        <w:tc>
          <w:tcPr/>
          <w:p w:rsidR="00000000" w:rsidDel="00000000" w:rsidP="00000000" w:rsidRDefault="00000000" w:rsidRPr="00000000">
            <w:pPr>
              <w:contextualSpacing w:val="0"/>
              <w:jc w:val="center"/>
            </w:pPr>
            <w:r w:rsidDel="00000000" w:rsidR="00000000" w:rsidRPr="00000000">
              <w:rPr>
                <w:b w:val="1"/>
                <w:sz w:val="20"/>
                <w:szCs w:val="20"/>
                <w:rtl w:val="0"/>
              </w:rPr>
              <w:t xml:space="preserve">80%</w:t>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B</w:t>
            </w:r>
          </w:p>
        </w:tc>
        <w:tc>
          <w:tcPr/>
          <w:p w:rsidR="00000000" w:rsidDel="00000000" w:rsidP="00000000" w:rsidRDefault="00000000" w:rsidRPr="00000000">
            <w:pPr>
              <w:contextualSpacing w:val="0"/>
              <w:jc w:val="center"/>
            </w:pPr>
            <w:r w:rsidDel="00000000" w:rsidR="00000000" w:rsidRPr="00000000">
              <w:rPr>
                <w:sz w:val="20"/>
                <w:szCs w:val="20"/>
                <w:rtl w:val="0"/>
              </w:rPr>
              <w:t xml:space="preserve">80-89</w:t>
            </w:r>
          </w:p>
        </w:tc>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Formative Assessments &amp; Projects</w:t>
            </w:r>
          </w:p>
        </w:tc>
        <w:tc>
          <w:tcPr/>
          <w:p w:rsidR="00000000" w:rsidDel="00000000" w:rsidP="00000000" w:rsidRDefault="00000000" w:rsidRPr="00000000">
            <w:pPr>
              <w:contextualSpacing w:val="0"/>
              <w:jc w:val="center"/>
            </w:pPr>
            <w:r w:rsidDel="00000000" w:rsidR="00000000" w:rsidRPr="00000000">
              <w:rPr>
                <w:b w:val="1"/>
                <w:sz w:val="20"/>
                <w:szCs w:val="20"/>
                <w:rtl w:val="0"/>
              </w:rPr>
              <w:t xml:space="preserve">20%</w:t>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C</w:t>
            </w:r>
          </w:p>
        </w:tc>
        <w:tc>
          <w:tcPr/>
          <w:p w:rsidR="00000000" w:rsidDel="00000000" w:rsidP="00000000" w:rsidRDefault="00000000" w:rsidRPr="00000000">
            <w:pPr>
              <w:contextualSpacing w:val="0"/>
              <w:jc w:val="center"/>
            </w:pPr>
            <w:r w:rsidDel="00000000" w:rsidR="00000000" w:rsidRPr="00000000">
              <w:rPr>
                <w:sz w:val="20"/>
                <w:szCs w:val="20"/>
                <w:rtl w:val="0"/>
              </w:rPr>
              <w:t xml:space="preserve">70-79</w:t>
            </w:r>
          </w:p>
        </w:tc>
        <w:tc>
          <w:tcPr>
            <w:gridSpan w:val="2"/>
            <w:vMerge w:val="restart"/>
            <w:shd w:fill="d9d9d9"/>
            <w:vAlign w:val="center"/>
          </w:tcPr>
          <w:p w:rsidR="00000000" w:rsidDel="00000000" w:rsidP="00000000" w:rsidRDefault="00000000" w:rsidRPr="00000000">
            <w:pPr>
              <w:contextualSpacing w:val="0"/>
            </w:pPr>
            <w:r w:rsidDel="00000000" w:rsidR="00000000" w:rsidRPr="00000000">
              <w:rPr>
                <w:b w:val="1"/>
                <w:sz w:val="16"/>
                <w:szCs w:val="16"/>
                <w:rtl w:val="0"/>
              </w:rPr>
              <w:t xml:space="preserve">*Weekly progress grades are posted at https://ic.adams12.org/campus/portal/adams12.isp</w:t>
            </w: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D</w:t>
            </w:r>
          </w:p>
        </w:tc>
        <w:tc>
          <w:tcPr/>
          <w:p w:rsidR="00000000" w:rsidDel="00000000" w:rsidP="00000000" w:rsidRDefault="00000000" w:rsidRPr="00000000">
            <w:pPr>
              <w:contextualSpacing w:val="0"/>
              <w:jc w:val="center"/>
            </w:pPr>
            <w:r w:rsidDel="00000000" w:rsidR="00000000" w:rsidRPr="00000000">
              <w:rPr>
                <w:sz w:val="20"/>
                <w:szCs w:val="20"/>
                <w:rtl w:val="0"/>
              </w:rPr>
              <w:t xml:space="preserve">60-69</w:t>
            </w:r>
          </w:p>
        </w:tc>
        <w:tc>
          <w:tcPr>
            <w:gridSpan w:val="2"/>
            <w:vMerge w:val="continue"/>
            <w:shd w:fill="d9d9d9"/>
            <w:vAlign w:val="center"/>
          </w:tcPr>
          <w:p w:rsidR="00000000" w:rsidDel="00000000" w:rsidP="00000000" w:rsidRDefault="00000000" w:rsidRPr="00000000">
            <w:pPr>
              <w:contextualSpacing w:val="0"/>
            </w:pP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sz w:val="20"/>
                <w:szCs w:val="20"/>
                <w:rtl w:val="0"/>
              </w:rPr>
              <w:t xml:space="preserve">F</w:t>
            </w:r>
          </w:p>
        </w:tc>
        <w:tc>
          <w:tcPr/>
          <w:p w:rsidR="00000000" w:rsidDel="00000000" w:rsidP="00000000" w:rsidRDefault="00000000" w:rsidRPr="00000000">
            <w:pPr>
              <w:contextualSpacing w:val="0"/>
              <w:jc w:val="center"/>
            </w:pPr>
            <w:r w:rsidDel="00000000" w:rsidR="00000000" w:rsidRPr="00000000">
              <w:rPr>
                <w:sz w:val="20"/>
                <w:szCs w:val="20"/>
                <w:rtl w:val="0"/>
              </w:rPr>
              <w:t xml:space="preserve">59 or below</w:t>
            </w:r>
          </w:p>
        </w:tc>
        <w:tc>
          <w:tcPr>
            <w:gridSpan w:val="2"/>
            <w:vMerge w:val="continue"/>
            <w:shd w:fill="d9d9d9"/>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0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15"/>
        <w:tblGridChange w:id="0">
          <w:tblGrid>
            <w:gridCol w:w="10015"/>
          </w:tblGrid>
        </w:tblGridChange>
      </w:tblGrid>
      <w:tr>
        <w:trPr>
          <w:trHeight w:val="200" w:hRule="atLeast"/>
        </w:trPr>
        <w:tc>
          <w:tcPr>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General Expectations</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0"/>
                <w:sz w:val="16"/>
                <w:szCs w:val="16"/>
                <w:rtl w:val="0"/>
              </w:rPr>
              <w:t xml:space="preserve">Grades are based upon the demonstration of proficiency on units associated with a standard given during each formative or summative assessment. Formative grades in addition to summative unit assessments will be used to holistically determine your grade.</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1"/>
                <w:sz w:val="16"/>
                <w:szCs w:val="16"/>
                <w:rtl w:val="0"/>
              </w:rPr>
              <w:t xml:space="preserve">Summative: 80% </w:t>
            </w:r>
            <w:r w:rsidDel="00000000" w:rsidR="00000000" w:rsidRPr="00000000">
              <w:rPr>
                <w:rFonts w:ascii="Calibri" w:cs="Calibri" w:eastAsia="Calibri" w:hAnsi="Calibri"/>
                <w:b w:val="0"/>
                <w:sz w:val="16"/>
                <w:szCs w:val="16"/>
                <w:rtl w:val="0"/>
              </w:rPr>
              <w:t xml:space="preserve">Summative measures of achievement are taken when unit master is expected. (i.e., unit tests, culmination of a project, embedded assessments, etc.)</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1"/>
                <w:sz w:val="16"/>
                <w:szCs w:val="16"/>
                <w:rtl w:val="0"/>
              </w:rPr>
              <w:t xml:space="preserve">Formative: 20%</w:t>
            </w:r>
            <w:r w:rsidDel="00000000" w:rsidR="00000000" w:rsidRPr="00000000">
              <w:rPr>
                <w:rFonts w:ascii="Calibri" w:cs="Calibri" w:eastAsia="Calibri" w:hAnsi="Calibri"/>
                <w:b w:val="0"/>
                <w:sz w:val="16"/>
                <w:szCs w:val="16"/>
                <w:rtl w:val="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0"/>
                <w:sz w:val="16"/>
                <w:szCs w:val="16"/>
                <w:rtl w:val="0"/>
              </w:rPr>
              <w:t xml:space="preserve">Assessments will be graded based on teacher/district/state rubrics.</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0"/>
                <w:sz w:val="16"/>
                <w:szCs w:val="16"/>
                <w:rtl w:val="0"/>
              </w:rPr>
              <w:t xml:space="preserve">On group projects, students will receive a grade for individual work and a group grade.</w:t>
            </w:r>
          </w:p>
          <w:p w:rsidR="00000000" w:rsidDel="00000000" w:rsidP="00000000" w:rsidRDefault="00000000" w:rsidRPr="00000000">
            <w:pPr>
              <w:numPr>
                <w:ilvl w:val="0"/>
                <w:numId w:val="5"/>
              </w:numPr>
              <w:spacing w:after="0" w:before="0" w:line="240" w:lineRule="auto"/>
              <w:ind w:left="270" w:hanging="180"/>
              <w:contextualSpacing w:val="1"/>
              <w:rPr>
                <w:b w:val="0"/>
                <w:sz w:val="16"/>
                <w:szCs w:val="16"/>
              </w:rPr>
            </w:pPr>
            <w:r w:rsidDel="00000000" w:rsidR="00000000" w:rsidRPr="00000000">
              <w:rPr>
                <w:rFonts w:ascii="Calibri" w:cs="Calibri" w:eastAsia="Calibri" w:hAnsi="Calibri"/>
                <w:b w:val="0"/>
                <w:sz w:val="16"/>
                <w:szCs w:val="16"/>
                <w:rtl w:val="0"/>
              </w:rPr>
              <w:t xml:space="preserve">Grades are based on achievement of Content Standards and Grade Level Expectations.</w:t>
            </w:r>
          </w:p>
        </w:tc>
      </w:tr>
      <w:tr>
        <w:trPr>
          <w:trHeight w:val="200" w:hRule="atLeast"/>
        </w:trPr>
        <w:tc>
          <w:tcPr/>
          <w:p w:rsidR="00000000" w:rsidDel="00000000" w:rsidP="00000000" w:rsidRDefault="00000000" w:rsidRPr="00000000">
            <w:pPr>
              <w:contextualSpacing w:val="0"/>
            </w:pPr>
            <w:r w:rsidDel="00000000" w:rsidR="00000000" w:rsidRPr="00000000">
              <w:rPr>
                <w:rtl w:val="0"/>
              </w:rPr>
            </w:r>
          </w:p>
        </w:tc>
      </w:tr>
      <w:tr>
        <w:trPr>
          <w:trHeight w:val="440" w:hRule="atLeast"/>
        </w:trPr>
        <w:tc>
          <w:tcPr>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Class Expectations</w:t>
            </w:r>
          </w:p>
          <w:p w:rsidR="00000000" w:rsidDel="00000000" w:rsidP="00000000" w:rsidRDefault="00000000" w:rsidRPr="00000000">
            <w:pPr>
              <w:contextualSpacing w:val="0"/>
            </w:pPr>
            <w:r w:rsidDel="00000000" w:rsidR="00000000" w:rsidRPr="00000000">
              <w:rPr>
                <w:b w:val="1"/>
                <w:sz w:val="16"/>
                <w:szCs w:val="16"/>
                <w:rtl w:val="0"/>
              </w:rPr>
              <w:t xml:space="preserve">Missing or incomplete assignments/assessments for this course:</w:t>
            </w:r>
            <w:r w:rsidDel="00000000" w:rsidR="00000000" w:rsidRPr="00000000">
              <w:rPr>
                <w:sz w:val="16"/>
                <w:szCs w:val="16"/>
                <w:rtl w:val="0"/>
              </w:rPr>
              <w:t xml:space="preserve"> Superintendent Policies 6280 Homework and 6281 Make-Up Work, will be followed for this course. </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sz w:val="20"/>
                <w:szCs w:val="20"/>
                <w:rtl w:val="0"/>
              </w:rPr>
              <w:t xml:space="preserve">Student Expectations</w:t>
            </w:r>
          </w:p>
        </w:tc>
      </w:tr>
      <w:tr>
        <w:tc>
          <w:tcPr/>
          <w:p w:rsidR="00000000" w:rsidDel="00000000" w:rsidP="00000000" w:rsidRDefault="00000000" w:rsidRPr="00000000">
            <w:pPr>
              <w:widowControl w:val="0"/>
              <w:ind w:left="100" w:firstLine="0"/>
              <w:contextualSpacing w:val="0"/>
              <w:jc w:val="both"/>
            </w:pPr>
            <w:r w:rsidDel="00000000" w:rsidR="00000000" w:rsidRPr="00000000">
              <w:rPr>
                <w:rFonts w:ascii="Arial" w:cs="Arial" w:eastAsia="Arial" w:hAnsi="Arial"/>
                <w:color w:val="666666"/>
                <w:sz w:val="20"/>
                <w:szCs w:val="20"/>
                <w:rtl w:val="0"/>
              </w:rPr>
              <w:t xml:space="preserve">Students will be encouraged to read at home for at least 100 minutes a week.  Students will be expected to discuss what they are reading in class.  Other homework will be due as assigned.  In addition, any classwork that isn’t completed during school hours, should be completed at home.  </w:t>
            </w:r>
            <w:r w:rsidDel="00000000" w:rsidR="00000000" w:rsidRPr="00000000">
              <w:rPr>
                <w:rtl w:val="0"/>
              </w:rPr>
            </w:r>
          </w:p>
          <w:p w:rsidR="00000000" w:rsidDel="00000000" w:rsidP="00000000" w:rsidRDefault="00000000" w:rsidRPr="00000000">
            <w:pPr>
              <w:widowControl w:val="0"/>
              <w:ind w:left="100" w:firstLine="0"/>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rPr>
                <w:sz w:val="20"/>
                <w:szCs w:val="20"/>
              </w:rPr>
            </w:pPr>
            <w:r w:rsidDel="00000000" w:rsidR="00000000" w:rsidRPr="00000000">
              <w:rPr>
                <w:rFonts w:ascii="Trebuchet MS" w:cs="Trebuchet MS" w:eastAsia="Trebuchet MS" w:hAnsi="Trebuchet MS"/>
                <w:b w:val="1"/>
                <w:sz w:val="20"/>
                <w:szCs w:val="20"/>
                <w:rtl w:val="0"/>
              </w:rPr>
              <w:t xml:space="preserve">Participate:</w:t>
            </w:r>
            <w:r w:rsidDel="00000000" w:rsidR="00000000" w:rsidRPr="00000000">
              <w:rPr>
                <w:rFonts w:ascii="Trebuchet MS" w:cs="Trebuchet MS" w:eastAsia="Trebuchet MS" w:hAnsi="Trebuchet MS"/>
                <w:sz w:val="20"/>
                <w:szCs w:val="20"/>
                <w:rtl w:val="0"/>
              </w:rPr>
              <w:t xml:space="preserve">  All students should participate in classroom activities, group work, and discussions.</w:t>
            </w:r>
          </w:p>
          <w:p w:rsidR="00000000" w:rsidDel="00000000" w:rsidP="00000000" w:rsidRDefault="00000000" w:rsidRPr="00000000">
            <w:pPr>
              <w:numPr>
                <w:ilvl w:val="0"/>
                <w:numId w:val="6"/>
              </w:numPr>
              <w:ind w:left="720" w:hanging="360"/>
              <w:rPr>
                <w:sz w:val="20"/>
                <w:szCs w:val="20"/>
              </w:rPr>
            </w:pPr>
            <w:r w:rsidDel="00000000" w:rsidR="00000000" w:rsidRPr="00000000">
              <w:rPr>
                <w:rFonts w:ascii="Trebuchet MS" w:cs="Trebuchet MS" w:eastAsia="Trebuchet MS" w:hAnsi="Trebuchet MS"/>
                <w:b w:val="1"/>
                <w:sz w:val="20"/>
                <w:szCs w:val="20"/>
                <w:rtl w:val="0"/>
              </w:rPr>
              <w:t xml:space="preserve">Be Punctual and Productive:</w:t>
            </w:r>
            <w:r w:rsidDel="00000000" w:rsidR="00000000" w:rsidRPr="00000000">
              <w:rPr>
                <w:rFonts w:ascii="Trebuchet MS" w:cs="Trebuchet MS" w:eastAsia="Trebuchet MS" w:hAnsi="Trebuchet MS"/>
                <w:sz w:val="20"/>
                <w:szCs w:val="20"/>
                <w:rtl w:val="0"/>
              </w:rPr>
              <w:t xml:space="preserve">  All students are expected to be in class on time and prepared to work.</w:t>
            </w:r>
          </w:p>
          <w:p w:rsidR="00000000" w:rsidDel="00000000" w:rsidP="00000000" w:rsidRDefault="00000000" w:rsidRPr="00000000">
            <w:pPr>
              <w:numPr>
                <w:ilvl w:val="0"/>
                <w:numId w:val="6"/>
              </w:numPr>
              <w:ind w:left="720" w:hanging="360"/>
              <w:rPr>
                <w:sz w:val="20"/>
                <w:szCs w:val="20"/>
              </w:rPr>
            </w:pPr>
            <w:r w:rsidDel="00000000" w:rsidR="00000000" w:rsidRPr="00000000">
              <w:rPr>
                <w:rFonts w:ascii="Trebuchet MS" w:cs="Trebuchet MS" w:eastAsia="Trebuchet MS" w:hAnsi="Trebuchet MS"/>
                <w:b w:val="1"/>
                <w:sz w:val="20"/>
                <w:szCs w:val="20"/>
                <w:rtl w:val="0"/>
              </w:rPr>
              <w:t xml:space="preserve">Be Respectful:</w:t>
            </w:r>
            <w:r w:rsidDel="00000000" w:rsidR="00000000" w:rsidRPr="00000000">
              <w:rPr>
                <w:rFonts w:ascii="Trebuchet MS" w:cs="Trebuchet MS" w:eastAsia="Trebuchet MS" w:hAnsi="Trebuchet MS"/>
                <w:sz w:val="20"/>
                <w:szCs w:val="20"/>
                <w:rtl w:val="0"/>
              </w:rPr>
              <w:t xml:space="preserve">  All students must respect themselves, others, and personal and school property.  This means speaking respectfully to others.  Students must also respect the learning style of others.</w:t>
            </w:r>
          </w:p>
          <w:p w:rsidR="00000000" w:rsidDel="00000000" w:rsidP="00000000" w:rsidRDefault="00000000" w:rsidRPr="00000000">
            <w:pPr>
              <w:numPr>
                <w:ilvl w:val="0"/>
                <w:numId w:val="6"/>
              </w:numPr>
              <w:ind w:left="720" w:hanging="360"/>
              <w:rPr>
                <w:sz w:val="20"/>
                <w:szCs w:val="20"/>
              </w:rPr>
            </w:pPr>
            <w:r w:rsidDel="00000000" w:rsidR="00000000" w:rsidRPr="00000000">
              <w:rPr>
                <w:rFonts w:ascii="Trebuchet MS" w:cs="Trebuchet MS" w:eastAsia="Trebuchet MS" w:hAnsi="Trebuchet MS"/>
                <w:b w:val="1"/>
                <w:sz w:val="20"/>
                <w:szCs w:val="20"/>
                <w:rtl w:val="0"/>
              </w:rPr>
              <w:t xml:space="preserve">Be prepared:</w:t>
            </w:r>
            <w:r w:rsidDel="00000000" w:rsidR="00000000" w:rsidRPr="00000000">
              <w:rPr>
                <w:rFonts w:ascii="Trebuchet MS" w:cs="Trebuchet MS" w:eastAsia="Trebuchet MS" w:hAnsi="Trebuchet MS"/>
                <w:sz w:val="20"/>
                <w:szCs w:val="20"/>
                <w:rtl w:val="0"/>
              </w:rPr>
              <w:t xml:space="preserve"> All students should have the following materials </w:t>
            </w:r>
            <w:r w:rsidDel="00000000" w:rsidR="00000000" w:rsidRPr="00000000">
              <w:rPr>
                <w:rFonts w:ascii="Trebuchet MS" w:cs="Trebuchet MS" w:eastAsia="Trebuchet MS" w:hAnsi="Trebuchet MS"/>
                <w:b w:val="1"/>
                <w:sz w:val="20"/>
                <w:szCs w:val="20"/>
                <w:rtl w:val="0"/>
              </w:rPr>
              <w:t xml:space="preserve">every day</w:t>
            </w:r>
            <w:r w:rsidDel="00000000" w:rsidR="00000000" w:rsidRPr="00000000">
              <w:rPr>
                <w:rFonts w:ascii="Trebuchet MS" w:cs="Trebuchet MS" w:eastAsia="Trebuchet MS" w:hAnsi="Trebuchet MS"/>
                <w:sz w:val="20"/>
                <w:szCs w:val="20"/>
                <w:rtl w:val="0"/>
              </w:rPr>
              <w:t xml:space="preserve"> in class:                                Pencils, and a spiral notebook that stays in room 602</w:t>
            </w:r>
          </w:p>
          <w:p w:rsidR="00000000" w:rsidDel="00000000" w:rsidP="00000000" w:rsidRDefault="00000000" w:rsidRPr="00000000">
            <w:pPr>
              <w:ind w:left="720" w:firstLine="0"/>
              <w:contextualSpacing w:val="0"/>
            </w:pPr>
            <w:r w:rsidDel="00000000" w:rsidR="00000000" w:rsidRPr="00000000">
              <w:rPr>
                <w:rFonts w:ascii="Trebuchet MS" w:cs="Trebuchet MS" w:eastAsia="Trebuchet MS" w:hAnsi="Trebuchet MS"/>
                <w:b w:val="1"/>
                <w:sz w:val="20"/>
                <w:szCs w:val="20"/>
                <w:rtl w:val="0"/>
              </w:rPr>
              <w:t xml:space="preserve">Independent reading book</w:t>
            </w:r>
          </w:p>
          <w:p w:rsidR="00000000" w:rsidDel="00000000" w:rsidP="00000000" w:rsidRDefault="00000000" w:rsidRPr="00000000">
            <w:pPr>
              <w:numPr>
                <w:ilvl w:val="0"/>
                <w:numId w:val="6"/>
              </w:numPr>
              <w:ind w:left="720" w:hanging="360"/>
              <w:rPr>
                <w:sz w:val="20"/>
                <w:szCs w:val="20"/>
              </w:rPr>
            </w:pPr>
            <w:r w:rsidDel="00000000" w:rsidR="00000000" w:rsidRPr="00000000">
              <w:rPr>
                <w:rFonts w:ascii="Trebuchet MS" w:cs="Trebuchet MS" w:eastAsia="Trebuchet MS" w:hAnsi="Trebuchet MS"/>
                <w:b w:val="1"/>
                <w:sz w:val="20"/>
                <w:szCs w:val="20"/>
                <w:rtl w:val="0"/>
              </w:rPr>
              <w:t xml:space="preserve">Follow school and district rules and policies:</w:t>
            </w:r>
            <w:r w:rsidDel="00000000" w:rsidR="00000000" w:rsidRPr="00000000">
              <w:rPr>
                <w:rFonts w:ascii="Trebuchet MS" w:cs="Trebuchet MS" w:eastAsia="Trebuchet MS" w:hAnsi="Trebuchet MS"/>
                <w:sz w:val="20"/>
                <w:szCs w:val="20"/>
                <w:rtl w:val="0"/>
              </w:rPr>
              <w:t xml:space="preserve">  All students will follow Northglenn High School and Adams 12 Five Star School District rules and policies regarding conduct, attendance, tardy policy, dress code and so on.</w:t>
            </w:r>
          </w:p>
        </w:tc>
      </w:tr>
    </w:tbl>
    <w:p w:rsidR="00000000" w:rsidDel="00000000" w:rsidP="00000000" w:rsidRDefault="00000000" w:rsidRPr="00000000">
      <w:pPr>
        <w:contextualSpacing w:val="0"/>
      </w:pPr>
      <w:r w:rsidDel="00000000" w:rsidR="00000000" w:rsidRPr="00000000">
        <w:rPr>
          <w:rtl w:val="0"/>
        </w:rPr>
      </w:r>
    </w:p>
    <w:tbl>
      <w:tblPr>
        <w:tblStyle w:val="Table5"/>
        <w:bidi w:val="0"/>
        <w:tblW w:w="9707.0" w:type="dxa"/>
        <w:jc w:val="center"/>
        <w:tblInd w:w="-15.0" w:type="dxa"/>
        <w:tblLayout w:type="fixed"/>
        <w:tblLook w:val="0400"/>
      </w:tblPr>
      <w:tblGrid>
        <w:gridCol w:w="9707"/>
        <w:tblGridChange w:id="0">
          <w:tblGrid>
            <w:gridCol w:w="9707"/>
          </w:tblGrid>
        </w:tblGridChange>
      </w:tblGrid>
      <w:tr>
        <w:trPr>
          <w:trHeight w:val="60" w:hRule="atLeast"/>
        </w:trPr>
        <w:tc>
          <w:tcPr>
            <w:tcMar>
              <w:top w:w="15.0" w:type="dxa"/>
              <w:left w:w="15.0" w:type="dxa"/>
              <w:bottom w:w="15.0" w:type="dxa"/>
              <w:right w:w="15.0" w:type="dxa"/>
            </w:tcMar>
            <w:vAlign w:val="center"/>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72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rebuchet MS"/>
  <w:font w:name="Times New Roman"/>
  <w:font w:name="Tahoma">
    <w:embedRegular w:fontKey="{00000000-0000-0000-0000-000000000000}" r:id="rId1" w:subsetted="0"/>
    <w:embedBold w:fontKey="{00000000-0000-0000-0000-000000000000}" r:id="rId2" w:subsetted="0"/>
  </w:font>
  <w:font w:name="Alois"/>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20"/>
      </w:tabs>
      <w:spacing w:before="720" w:lineRule="auto"/>
      <w:contextualSpacing w:val="0"/>
    </w:pPr>
    <w:r w:rsidDel="00000000" w:rsidR="00000000" w:rsidRPr="00000000">
      <w:rPr>
        <w:rtl w:val="0"/>
      </w:rPr>
    </w:r>
    <w:r w:rsidDel="00000000" w:rsidR="00000000" w:rsidRPr="00000000">
      <w:drawing>
        <wp:anchor allowOverlap="1" behindDoc="0" distB="36576" distT="36576" distL="36576" distR="36576" hidden="0" layoutInCell="0" locked="0" relativeHeight="0" simplePos="0">
          <wp:simplePos x="0" y="0"/>
          <wp:positionH relativeFrom="margin">
            <wp:posOffset>-400049</wp:posOffset>
          </wp:positionH>
          <wp:positionV relativeFrom="paragraph">
            <wp:posOffset>-311784</wp:posOffset>
          </wp:positionV>
          <wp:extent cx="799465" cy="1014095"/>
          <wp:effectExtent b="0" l="0" r="0" t="0"/>
          <wp:wrapNone/>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799465" cy="1014095"/>
                  </a:xfrm>
                  <a:prstGeom prst="rect"/>
                  <a:ln/>
                </pic:spPr>
              </pic:pic>
            </a:graphicData>
          </a:graphic>
        </wp:anchor>
      </w:drawing>
    </w:r>
  </w:p>
  <w:p w:rsidR="00000000" w:rsidDel="00000000" w:rsidP="00000000" w:rsidRDefault="00000000" w:rsidRPr="00000000">
    <w:pPr>
      <w:tabs>
        <w:tab w:val="left" w:pos="720"/>
      </w:tabs>
      <w:ind w:firstLine="720"/>
      <w:contextualSpacing w:val="0"/>
    </w:pPr>
    <w:r w:rsidDel="00000000" w:rsidR="00000000" w:rsidRPr="00000000">
      <w:rPr>
        <w:rFonts w:ascii="Times New Roman" w:cs="Times New Roman" w:eastAsia="Times New Roman" w:hAnsi="Times New Roman"/>
        <w:b w:val="1"/>
        <w:sz w:val="16"/>
        <w:szCs w:val="16"/>
        <w:rtl w:val="0"/>
      </w:rPr>
      <w:t xml:space="preserve">Northglenn High School</w:t>
    </w:r>
    <w:r w:rsidDel="00000000" w:rsidR="00000000" w:rsidRPr="00000000">
      <w:drawing>
        <wp:anchor allowOverlap="1" behindDoc="0" distB="0" distT="0" distL="114300" distR="114300" hidden="0" layoutInCell="0" locked="0" relativeHeight="0" simplePos="0">
          <wp:simplePos x="0" y="0"/>
          <wp:positionH relativeFrom="margin">
            <wp:posOffset>5410200</wp:posOffset>
          </wp:positionH>
          <wp:positionV relativeFrom="paragraph">
            <wp:posOffset>-218439</wp:posOffset>
          </wp:positionV>
          <wp:extent cx="962660" cy="360680"/>
          <wp:effectExtent b="0" l="0" r="0" t="0"/>
          <wp:wrapSquare wrapText="bothSides" distB="0" distT="0" distL="114300" distR="114300"/>
          <wp:docPr descr="AD12 CMYK Logo" id="2" name="image03.png"/>
          <a:graphic>
            <a:graphicData uri="http://schemas.openxmlformats.org/drawingml/2006/picture">
              <pic:pic>
                <pic:nvPicPr>
                  <pic:cNvPr descr="AD12 CMYK Logo" id="0" name="image03.png"/>
                  <pic:cNvPicPr preferRelativeResize="0"/>
                </pic:nvPicPr>
                <pic:blipFill>
                  <a:blip r:embed="rId2"/>
                  <a:srcRect b="14682" l="3917" r="0" t="0"/>
                  <a:stretch>
                    <a:fillRect/>
                  </a:stretch>
                </pic:blipFill>
                <pic:spPr>
                  <a:xfrm>
                    <a:off x="0" y="0"/>
                    <a:ext cx="962660" cy="360680"/>
                  </a:xfrm>
                  <a:prstGeom prst="rect"/>
                  <a:ln/>
                </pic:spPr>
              </pic:pic>
            </a:graphicData>
          </a:graphic>
        </wp:anchor>
      </w:drawing>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16"/>
        <w:szCs w:val="16"/>
        <w:rtl w:val="0"/>
      </w:rPr>
      <w:tab/>
      <w:t xml:space="preserve">601 West 100</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16"/>
        <w:szCs w:val="16"/>
        <w:rtl w:val="0"/>
      </w:rPr>
      <w:t xml:space="preserve"> Place </w:t>
    </w:r>
    <w:r w:rsidDel="00000000" w:rsidR="00000000" w:rsidRPr="00000000">
      <w:rPr>
        <w:rFonts w:ascii="Wingdings" w:cs="Wingdings" w:eastAsia="Wingdings" w:hAnsi="Wingdings"/>
        <w:sz w:val="10"/>
        <w:szCs w:val="10"/>
        <w:rtl w:val="0"/>
      </w:rPr>
      <w:t xml:space="preserve">●</w:t>
    </w:r>
    <w:r w:rsidDel="00000000" w:rsidR="00000000" w:rsidRPr="00000000">
      <w:rPr>
        <w:rFonts w:ascii="Times New Roman" w:cs="Times New Roman" w:eastAsia="Times New Roman" w:hAnsi="Times New Roman"/>
        <w:sz w:val="16"/>
        <w:szCs w:val="16"/>
        <w:rtl w:val="0"/>
      </w:rPr>
      <w:t xml:space="preserve"> Northglenn, CO  80260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16"/>
        <w:szCs w:val="16"/>
        <w:rtl w:val="0"/>
      </w:rPr>
      <w:tab/>
      <w:t xml:space="preserve">Office: (720) 972-4600 </w:t>
    </w:r>
    <w:r w:rsidDel="00000000" w:rsidR="00000000" w:rsidRPr="00000000">
      <w:rPr>
        <w:rFonts w:ascii="Wingdings" w:cs="Wingdings" w:eastAsia="Wingdings" w:hAnsi="Wingdings"/>
        <w:sz w:val="10"/>
        <w:szCs w:val="10"/>
        <w:rtl w:val="0"/>
      </w:rPr>
      <w:t xml:space="preserve">●</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Fonts w:ascii="Times New Roman" w:cs="Times New Roman" w:eastAsia="Times New Roman" w:hAnsi="Times New Roman"/>
        <w:sz w:val="16"/>
        <w:szCs w:val="16"/>
        <w:rtl w:val="0"/>
      </w:rPr>
      <w:t xml:space="preserve">Fax: (720) 972-4739</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16"/>
        <w:szCs w:val="16"/>
        <w:rtl w:val="0"/>
      </w:rPr>
      <w:tab/>
      <w:t xml:space="preserve">http://www.northglennhs.adams12.org</w:t>
    </w:r>
  </w:p>
  <w:p w:rsidR="00000000" w:rsidDel="00000000" w:rsidP="00000000" w:rsidRDefault="00000000" w:rsidRPr="00000000">
    <w:pPr>
      <w:ind w:firstLine="27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1"/>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720"/>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ahoma" w:cs="Tahoma" w:eastAsia="Tahoma" w:hAnsi="Tahoma"/>
      <w:b w:val="0"/>
      <w:i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jc w:val="center"/>
    </w:pPr>
    <w:rPr>
      <w:rFonts w:ascii="Alois" w:cs="Alois" w:eastAsia="Alois" w:hAnsi="Alois"/>
      <w:b w:val="0"/>
      <w:i w:val="1"/>
      <w:color w:val="0000ff"/>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